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 w:eastAsia="Calibri"/>
          <w:b/>
          <w:i w:val="0"/>
          <w:color w:val="3A2ED6"/>
          <w:sz w:val="40"/>
        </w:rPr>
        <w:t>Вячеслав Бабкин</w:t>
      </w:r>
    </w:p>
    <w:p>
      <w:pPr>
        <w:spacing w:before="0" w:after="60"/>
      </w:pPr>
      <w:r>
        <w:rPr>
          <w:rFonts w:ascii="Calibri" w:hAnsi="Calibri" w:eastAsia="Calibri"/>
          <w:b/>
          <w:i w:val="0"/>
          <w:color w:val="111424"/>
          <w:sz w:val="26"/>
        </w:rPr>
        <w:t>Маркетолог</w:t>
      </w:r>
    </w:p>
    <w:p>
      <w:pPr>
        <w:spacing w:before="0" w:after="40"/>
      </w:pPr>
      <w:r>
        <w:rPr>
          <w:rFonts w:ascii="Calibri" w:hAnsi="Calibri" w:eastAsia="Calibri"/>
          <w:b w:val="0"/>
          <w:i w:val="0"/>
          <w:color w:val="5A6072"/>
          <w:sz w:val="21"/>
        </w:rPr>
        <w:t>Санкт-Петербург · удалённо / гибрид · +7 964 389 0225 · bems16@mail.ru · ecomarguru.ru</w:t>
      </w:r>
    </w:p>
    <w:p>
      <w:pPr>
        <w:spacing w:before="0" w:after="120"/>
      </w:pPr>
      <w:r>
        <w:rPr>
          <w:rFonts w:ascii="Calibri" w:hAnsi="Calibri" w:eastAsia="Calibri"/>
          <w:b w:val="0"/>
          <w:i/>
          <w:color w:val="5A6072"/>
          <w:sz w:val="21"/>
        </w:rPr>
        <w:t>14 лет в маркетинге · 8+ лет на руководящих позициях · B2C / B2B / E-commerce / DTC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ПРОФЕССИОНАЛЬНЫЙ ПРОФИЛЬ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Маркетолог с 14-летним опытом в B2C/B2B, e-commerce, DTC и brand marketing. Начинал специалистом по рекламе, прошёл путь до руководителя маркетинговой функции и продолжаю вести ключевые проекты лично.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Закрываю полный цикл маркетинга: исследование рынка и конкурентов, сегментация и ЦА, позиционирование и УТП, упаковка продукта, контент и коммуникации, digital-реклама, SEO, CRM, e-commerce и маркетплейсы, мероприятия, аналитика.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развития потребительских брендов и физических продуктов: Groupe SEB — Tefal, Krups, Rowenta, Moulinex, WMF; строительное оборудование, инструменты и материалы (ТМ ASpro, ТД Форт).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Ведение рекламных кампаний и бюджетов: Яндекс.Директ, VK Реклама, Google Ads, TikTok Ads; товарные кампании по фиду, ЕПК, ретаргетинг; CPA и партнёрские программы; контроль CPO, CAC, ДРД и ROAS.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Контент и коммуникации: контент-стратегия, ведение соцсетей и видеоплатформ, лендинги, PR и работа со СМИ, E-mail/SMS, мероприятия и выставки.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Аналитика как привычка: Яндекс.Метрика, GA4, сквозная аналитика, BI-дашборды (Power BI, Yandex DataLens), A/B-тесты, юнит-экономика и план-факт по каналам.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РЕЗУЛЬТАТЫ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sell-out Groupe SEB в 1,53 раза кумулятивно за 2022–2025 гг.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выручки e-commerce на 53% при увеличении digital-бюджета только на 23%.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Снижение ДРД с 14,5% до 11,3%; Digital ROAS — 8,3.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Рост видимости Tefal в Яндексе на 79% (+37% в Google) за год.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57 600 лидов привлечено в ТД Форт; конверсия лида в платящего клиента — 56,6%.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Выручка платного трафика: Krups ×11, WMF ×5,4, Tefal ×3,8.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CRM: конверсия в заказ +50%, выручка +27%, средний чек +24,5% год к году.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CPA-выручка Tefal +61% год к году; продажи новинок ×9 месяц к месяцу.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КЛЮЧЕВЫЕ КОМПЕТЕНЦИИ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Исследования и аналитика рынка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Анализ рынка, ниши и конкурентов; сегментация ЦА и портреты клиентов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CJM, барьеры клиентского опыта, потребности и мотивы аудиторий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Юнит-экономика, план-факт по каналам, ABC-анализ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Позиционирование и бренд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УТП и ценностное предложение, упаковка продукта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Бренд-платформа, ключевые сообщения, Tone of Voice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Промо-механики и вывод новых продуктов на рынок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Digital и performance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Яндекс.Директ, VK Реклама, Google Ads, TikTok Ads: поиск, сети, фид, ЕПК, ретаргетинг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CPA и партнёрские программы, промокоды, веб-мастера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Контроль CPO, CAC, ДРД, ROAS и ROMI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Контент, SMM и PR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Контент-стратегия и контент-планы, лендинги, баннеры и презентации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Ведение соцсетей и видеоплатформ, видеоконтент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PR и работа со СМИ: медиакарта, спикеры, инфоповоды, мониторинг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CRM, E-mail/SMS и retention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RFM-сегментация и персонализация коммуникаций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Триггерные сценарии: welcome, abandoned cart, reactivation, cross-sell, post-purchase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E-commerce и маркетплейсы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Карточки и товарные фиды, Ozon, Wildberries, Яндекс Маркет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Промо и pricing, работа с корзиной, CRO и A/B-тесты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Веб-аналитика и BI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Яндекс.Метрика, GA4, сквозная аналитика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Дашборды Power BI и Yandex DataLens, отчётность по каналам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Мероприятия и офлайн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Выставки, семинары, вебинары и шоу-рум: от концепции до лидов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ОПЫТ РАБОТЫ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Директор по развитию маркетинговых проектов — ООО «Брендформанс» — агентство интернет-маркетинга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2024 — по настоящее время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и реализация маркетинговых стратегий для портфеля клиентов и комплексных проектов с учётом бизнес-целей.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 digital-маркетингом: performance, SEO, CPA/affiliate, CRM и органические каналы; развитие e-commerce/DTC-направлений.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маркетинговыми бюджетами, оценка эффективности инвестиций, анализ воронки продаж; участие в управлении P&amp;L совместно с коммерческой функцией.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Развитие маркетинговой и web-аналитики: BI-дашборды, сквозная аналитика, CJM, конверсии и эффективность каналов.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командой до 12 человек (8 в прямом подчинении): цели, распределение ответственности, развитие специалистов, координация подрядчиков.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портфелем до 7–8 клиентских проектов одновременно; работа с собственниками, генеральными и коммерческими директорами.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Groupe SEB — sell-out ×1,53 (2022–2025), выручка +53% при росте бюджета на 23%, ДРД 14,5% → 11,3%, Digital ROAS 8,3, доля digital в выручке 60,8% → 66,2%.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по развитию маркетинговых проектов — «Фирменные решения» — e-commerce / DTC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Июнь 2021 — Февраль 2024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комплексными маркетинговыми проектами в e-commerce/DTC: от исследования и целей до реализации, контроля KPI и коммерческого результата.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Координация маркетинга, CRM, e-commerce, IT, аналитики, финансов и внешних подрядчиков; разработка планов и бюджетов.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digital, CRM, E-mail, SMS и organic; управление маркетинговым миксом и перераспределение инвестиций.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Контроль ROAS, DRR, продаж, маржинальности, заказов и стоимости привлечения; план-факт анализ и корректировка стратегии.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доля digital в продажах ~39% → ~52%; доля отменённых заказов −35% (с 15–16% до 10%); вклад E-mail/SMS — до 10–11% продаж.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отдела маркетинга и рекламы — ООО «Химбалт» — ТМ ASpro, aspro-rus.ru (производство, интернет-магазин)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Март 2020 — Май 2021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Руководство маркетинговым направлением компании-производителя с собственным интернет-магазином.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Разработка маркетинговой стратегии, планов и бюджета; построение маркетинговой аналитики и контроль эффективности рекламных активностей.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digital-подрядчиками, сайтом, SEO, CRM и E-mail-маркетингом; развитие рекламных и коммуникационных материалов.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Полный цикл управления контентом сайта, UX/UI-прототипы, CRO и A/B-тестирование; улучшение digital-воронки.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Организация мероприятий, вебинаров и выставок.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стоимость закрытой сделки (CPO) снижена в 2,3 раза для e-commerce-проекта в сегменте B2B-оборудования.</w:t>
      </w:r>
    </w:p>
    <w:p>
      <w:pPr>
        <w:spacing w:before="160" w:after="40"/>
      </w:pPr>
      <w:r>
        <w:rPr>
          <w:rFonts w:ascii="Calibri" w:hAnsi="Calibri" w:eastAsia="Calibri"/>
          <w:b/>
          <w:i w:val="0"/>
          <w:color w:val="111424"/>
          <w:sz w:val="23"/>
        </w:rPr>
        <w:t>Руководитель отделов рекламы и маркетинга (начинал специалистом по рекламе) — ТД Форт — tdfort.ru (рабочая одежда, стройматериалы, инструменты)</w:t>
      </w:r>
    </w:p>
    <w:p>
      <w:pPr>
        <w:spacing w:before="0" w:after="60"/>
      </w:pPr>
      <w:r>
        <w:rPr>
          <w:rFonts w:ascii="Calibri" w:hAnsi="Calibri" w:eastAsia="Calibri"/>
          <w:b w:val="0"/>
          <w:i/>
          <w:color w:val="5A6072"/>
          <w:sz w:val="21"/>
        </w:rPr>
        <w:t>Октябрь 2012 — Февраль 2020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Маркетинговая и бренд-стратегия: анализ ниши и конкурентов, сегментация ЦА, позиционирование, УТП, brand awareness, вывод новых продуктов.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Digital, SMM и контент: VK, YouTube, контент-стратегия, видео, графика, лендинги; SEO двух сайтов; контекстная реклама и performance.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Управление сайтами и контентом: заведение товаров, фотосессии, динамическое ценообразование, корпоративный блог, UX/UI, CRO.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Customer Journey и коммуникации; PR и работа со СМИ: медиакарта, спикеры, инфоповоды, мониторинг публикаций.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Event и офлайн-маркетинг: выставки, семинары, шоу-рум; размещение товаров на маркетплейсах.</w:t>
      </w:r>
    </w:p>
    <w:p>
      <w:pPr>
        <w:spacing w:before="60" w:after="160"/>
      </w:pPr>
      <w:r>
        <w:rPr>
          <w:rFonts w:ascii="Calibri" w:hAnsi="Calibri" w:eastAsia="Calibri"/>
          <w:b/>
          <w:i w:val="0"/>
          <w:color w:val="3A2ED6"/>
          <w:sz w:val="22"/>
        </w:rPr>
        <w:t>Результат: маркетинг обеспечивал около 20% объёма продаж компании; привлечено 57 600 лидов; конверсия лида в платящего клиента — 56,6%.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КЕЙСЫ И ПРОЕКТЫ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Groupe SEB: маркетинг 5 брендов в одном контуре — sell-out ×1,53, выручка +53%.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Performance: аудит и перезапуск контекстной рекламы — ROAS Krups до 14,5, WMF до 6,4.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стратегия для мультибрендового портфеля — видимость Tefal +79% в Яндексе, +37% в Google.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Аналитика: сквозная аналитика и дашборды — продажи новинок ×9 месяц к месяцу.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CRM: RFM-сегментация и retention — выручка +27%, конверсия в заказ +50%.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CPA: диверсификация партнёрской сети — CPA-выручка Tefal +61% год к году.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ДОПОЛНИТЕЛЬНЫЙ ОПЫТ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Опыт маркетинга в строительном секторе: B2B/B2C, строительные материалы, оборудование и инструменты.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Работа с физическими продуктами и товарным ассортиментом: анализ рынка и ЦА, позиционирование, pricing, промо, SKU, контент, digital, e-commerce, SEO, performance, SMM, PR, мероприятия и аналитика.</w:t>
      </w:r>
    </w:p>
    <w:p>
      <w:pPr>
        <w:spacing w:before="280" w:after="100"/>
        <w:pBdr>
          <w:bottom w:val="single" w:sz="6" w:space="2" w:color="C9C4F5"/>
        </w:pBdr>
      </w:pPr>
      <w:r>
        <w:rPr>
          <w:rFonts w:ascii="Calibri" w:hAnsi="Calibri" w:eastAsia="Calibri"/>
          <w:b/>
          <w:i w:val="0"/>
          <w:color w:val="3A2ED6"/>
          <w:sz w:val="25"/>
        </w:rPr>
        <w:t>DIGITAL &amp; MARTECH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Advertising: Яндекс.Директ, VK Реклама, Google Ads, TikTok Ads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Analytics: Яндекс.Метрика, GA4, Power BI, Yandex DataLens, сквозная аналитика, BI-дашборды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CRM / Marketing automation: CRM/CDP, E-mail/SMS, сегментация, retention, персонализация, Flocktory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E-commerce: Ozon, Wildberries, Яндекс Маркет, DTC/e-commerce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SEO: Топвизор, Яндекс.Вебмастер, Google Search Console, семантика и техническая оптимизация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Social &amp; Content: VK, YouTube, контент-маркетинг, видеоконтент, SMM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AI &amp; Automation: AI-инструменты и автоматизация маркетинговых процессов</w:t>
      </w:r>
    </w:p>
    <w:p>
      <w:pPr>
        <w:pStyle w:val="ListBullet"/>
        <w:spacing w:after="40"/>
        <w:ind w:left="340"/>
      </w:pPr>
      <w:r>
        <w:rPr>
          <w:rFonts w:ascii="Calibri" w:hAnsi="Calibri" w:eastAsia="Calibri"/>
          <w:color w:val="111424"/>
          <w:sz w:val="22"/>
        </w:rPr>
        <w:t>Web &amp; UX: управление сайтами, UX/UI, CRO, A/B-тестирование</w:t>
      </w:r>
    </w:p>
    <w:p>
      <w:pPr>
        <w:spacing w:before="160" w:after="0"/>
      </w:pPr>
      <w:r>
        <w:rPr>
          <w:rFonts w:ascii="Calibri" w:hAnsi="Calibri" w:eastAsia="Calibri"/>
          <w:b w:val="0"/>
          <w:i w:val="0"/>
          <w:color w:val="5A6072"/>
          <w:sz w:val="18"/>
        </w:rPr>
        <w:t>* Meta Platforms Inc. и принадлежащие ей социальные сети признаны экстремистскими организациями и запрещены на территории РФ.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